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B1" w:rsidRPr="00AE3F5B" w:rsidRDefault="009F13B1" w:rsidP="009F13B1">
      <w:pPr>
        <w:jc w:val="center"/>
        <w:rPr>
          <w:b/>
          <w:bCs/>
          <w:sz w:val="28"/>
          <w:szCs w:val="28"/>
        </w:rPr>
      </w:pPr>
      <w:r w:rsidRPr="00AE3F5B">
        <w:rPr>
          <w:b/>
          <w:bCs/>
          <w:spacing w:val="30"/>
          <w:sz w:val="28"/>
          <w:szCs w:val="28"/>
        </w:rPr>
        <w:t>CELNÍ ÚŘAD PRO HLAVNÍ MĚSTO PRAHU</w:t>
      </w:r>
    </w:p>
    <w:p w:rsidR="009F13B1" w:rsidRPr="00AE3F5B" w:rsidRDefault="009F13B1" w:rsidP="009F13B1">
      <w:pPr>
        <w:jc w:val="center"/>
      </w:pPr>
      <w:r w:rsidRPr="00AE3F5B">
        <w:t xml:space="preserve">113 54, Praha 1, Washingtonova 7, P.O.BOX 741 </w:t>
      </w:r>
    </w:p>
    <w:p w:rsidR="00E53B9B" w:rsidRDefault="00E53B9B"/>
    <w:p w:rsidR="003A5E2C" w:rsidRDefault="003A5E2C">
      <w:pPr>
        <w:rPr>
          <w:sz w:val="16"/>
          <w:szCs w:val="16"/>
        </w:rPr>
      </w:pPr>
    </w:p>
    <w:p w:rsidR="001F7B7C" w:rsidRDefault="00A75F7B" w:rsidP="001F7B7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</w:t>
      </w:r>
      <w:r w:rsidR="001F7B7C">
        <w:rPr>
          <w:rFonts w:ascii="Bookman Old Style" w:hAnsi="Bookman Old Style"/>
          <w:sz w:val="22"/>
          <w:szCs w:val="22"/>
        </w:rPr>
        <w:t xml:space="preserve">JUDr. Ing. </w:t>
      </w:r>
      <w:r w:rsidR="001F7B7C" w:rsidRPr="001F7B7C">
        <w:rPr>
          <w:rFonts w:ascii="Bookman Old Style" w:hAnsi="Bookman Old Style"/>
          <w:sz w:val="22"/>
          <w:szCs w:val="22"/>
        </w:rPr>
        <w:t>Václav Chum</w:t>
      </w:r>
      <w:r w:rsidR="001F7B7C">
        <w:rPr>
          <w:rFonts w:ascii="Bookman Old Style" w:hAnsi="Bookman Old Style"/>
          <w:sz w:val="22"/>
          <w:szCs w:val="22"/>
        </w:rPr>
        <w:t xml:space="preserve"> LL.M.</w:t>
      </w:r>
      <w:r w:rsidR="001F7B7C" w:rsidRPr="001F7B7C">
        <w:rPr>
          <w:rFonts w:ascii="Bookman Old Style" w:hAnsi="Bookman Old Style"/>
          <w:sz w:val="22"/>
          <w:szCs w:val="22"/>
        </w:rPr>
        <w:t>,</w:t>
      </w:r>
    </w:p>
    <w:p w:rsidR="001F7B7C" w:rsidRDefault="001F7B7C" w:rsidP="001F7B7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</w:t>
      </w:r>
      <w:r w:rsidRPr="001F7B7C">
        <w:rPr>
          <w:rFonts w:ascii="Bookman Old Style" w:hAnsi="Bookman Old Style"/>
          <w:sz w:val="22"/>
          <w:szCs w:val="22"/>
        </w:rPr>
        <w:t xml:space="preserve"> Sokolská 1788/60</w:t>
      </w:r>
      <w:r>
        <w:rPr>
          <w:rFonts w:ascii="Bookman Old Style" w:hAnsi="Bookman Old Style"/>
          <w:sz w:val="22"/>
          <w:szCs w:val="22"/>
        </w:rPr>
        <w:t xml:space="preserve">   </w:t>
      </w:r>
    </w:p>
    <w:p w:rsidR="001F7B7C" w:rsidRDefault="001F7B7C" w:rsidP="001F7B7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rFonts w:ascii="Bookman Old Style" w:hAnsi="Bookman Old Style"/>
          <w:sz w:val="22"/>
          <w:szCs w:val="22"/>
        </w:rPr>
        <w:t>1</w:t>
      </w:r>
      <w:r w:rsidRPr="001F7B7C">
        <w:rPr>
          <w:rFonts w:ascii="Bookman Old Style" w:hAnsi="Bookman Old Style"/>
          <w:sz w:val="22"/>
          <w:szCs w:val="22"/>
        </w:rPr>
        <w:t>2000  Praha</w:t>
      </w:r>
      <w:proofErr w:type="gramEnd"/>
      <w:r w:rsidRPr="001F7B7C">
        <w:rPr>
          <w:rFonts w:ascii="Bookman Old Style" w:hAnsi="Bookman Old Style"/>
          <w:sz w:val="22"/>
          <w:szCs w:val="22"/>
        </w:rPr>
        <w:t xml:space="preserve"> 2 </w:t>
      </w:r>
    </w:p>
    <w:p w:rsidR="001F7B7C" w:rsidRDefault="001F7B7C" w:rsidP="001F7B7C">
      <w:pPr>
        <w:rPr>
          <w:rFonts w:ascii="Bookman Old Style" w:hAnsi="Bookman Old Style"/>
          <w:sz w:val="22"/>
          <w:szCs w:val="22"/>
        </w:rPr>
      </w:pPr>
    </w:p>
    <w:p w:rsidR="005A3E5C" w:rsidRPr="005A3E5C" w:rsidRDefault="001F7B7C" w:rsidP="001F7B7C">
      <w:pPr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</w:t>
      </w:r>
      <w:r w:rsidRPr="001F7B7C">
        <w:rPr>
          <w:rFonts w:ascii="Bookman Old Style" w:hAnsi="Bookman Old Style"/>
          <w:sz w:val="22"/>
          <w:szCs w:val="22"/>
        </w:rPr>
        <w:t>DS: azyhe22</w:t>
      </w:r>
    </w:p>
    <w:tbl>
      <w:tblPr>
        <w:tblW w:w="949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693"/>
        <w:gridCol w:w="1985"/>
        <w:gridCol w:w="2054"/>
      </w:tblGrid>
      <w:tr w:rsidR="003F1E4E" w:rsidTr="00DA6DDA">
        <w:trPr>
          <w:trHeight w:val="197"/>
        </w:trPr>
        <w:tc>
          <w:tcPr>
            <w:tcW w:w="2766" w:type="dxa"/>
            <w:vAlign w:val="center"/>
          </w:tcPr>
          <w:p w:rsidR="003F1E4E" w:rsidRPr="00A25C13" w:rsidRDefault="003F1E4E" w:rsidP="00697D15">
            <w:pPr>
              <w:rPr>
                <w:rFonts w:ascii="Bookman Old Style" w:hAnsi="Bookman Old Style"/>
                <w:iCs/>
                <w:caps/>
                <w:sz w:val="18"/>
              </w:rPr>
            </w:pPr>
            <w:r>
              <w:rPr>
                <w:rFonts w:ascii="Bookman Old Style" w:hAnsi="Bookman Old Style"/>
                <w:iCs/>
                <w:caps/>
                <w:sz w:val="18"/>
              </w:rPr>
              <w:t xml:space="preserve">   </w:t>
            </w:r>
            <w:r w:rsidRPr="00A25C13">
              <w:rPr>
                <w:rFonts w:ascii="Bookman Old Style" w:hAnsi="Bookman Old Style"/>
                <w:iCs/>
                <w:caps/>
                <w:sz w:val="18"/>
              </w:rPr>
              <w:t>SPISOVÁ ZNAČKA</w:t>
            </w:r>
            <w:r>
              <w:rPr>
                <w:rFonts w:ascii="Bookman Old Style" w:hAnsi="Bookman Old Style"/>
                <w:iCs/>
                <w:caps/>
                <w:sz w:val="18"/>
              </w:rPr>
              <w:t xml:space="preserve">: </w:t>
            </w:r>
          </w:p>
        </w:tc>
        <w:tc>
          <w:tcPr>
            <w:tcW w:w="2693" w:type="dxa"/>
            <w:vAlign w:val="center"/>
          </w:tcPr>
          <w:p w:rsidR="003F1E4E" w:rsidRPr="00A25C13" w:rsidRDefault="003F1E4E" w:rsidP="00A34A43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</w:p>
        </w:tc>
        <w:tc>
          <w:tcPr>
            <w:tcW w:w="1985" w:type="dxa"/>
            <w:vAlign w:val="center"/>
          </w:tcPr>
          <w:p w:rsidR="003F1E4E" w:rsidRPr="00A25C13" w:rsidRDefault="003F1E4E" w:rsidP="00A34A43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</w:p>
        </w:tc>
        <w:tc>
          <w:tcPr>
            <w:tcW w:w="2054" w:type="dxa"/>
            <w:vAlign w:val="center"/>
          </w:tcPr>
          <w:p w:rsidR="003F1E4E" w:rsidRPr="00A25C13" w:rsidRDefault="003F1E4E" w:rsidP="00A34A43">
            <w:pPr>
              <w:jc w:val="center"/>
              <w:rPr>
                <w:rFonts w:ascii="Bookman Old Style" w:hAnsi="Bookman Old Style"/>
                <w:caps/>
                <w:sz w:val="18"/>
              </w:rPr>
            </w:pPr>
          </w:p>
        </w:tc>
      </w:tr>
      <w:tr w:rsidR="003F1E4E" w:rsidTr="00697D15">
        <w:tc>
          <w:tcPr>
            <w:tcW w:w="2766" w:type="dxa"/>
            <w:vAlign w:val="center"/>
          </w:tcPr>
          <w:p w:rsidR="003F1E4E" w:rsidRPr="00A25C13" w:rsidRDefault="003F1E4E" w:rsidP="00A34A43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</w:p>
        </w:tc>
        <w:tc>
          <w:tcPr>
            <w:tcW w:w="2693" w:type="dxa"/>
            <w:vAlign w:val="center"/>
          </w:tcPr>
          <w:p w:rsidR="003F1E4E" w:rsidRPr="00A25C13" w:rsidRDefault="003F1E4E" w:rsidP="00A34A43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</w:p>
        </w:tc>
        <w:tc>
          <w:tcPr>
            <w:tcW w:w="1985" w:type="dxa"/>
            <w:vAlign w:val="center"/>
          </w:tcPr>
          <w:p w:rsidR="003F1E4E" w:rsidRPr="00A25C13" w:rsidRDefault="003F1E4E" w:rsidP="00A34A43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</w:p>
        </w:tc>
        <w:tc>
          <w:tcPr>
            <w:tcW w:w="2054" w:type="dxa"/>
            <w:vAlign w:val="center"/>
          </w:tcPr>
          <w:p w:rsidR="003F1E4E" w:rsidRPr="00A25C13" w:rsidRDefault="003F1E4E" w:rsidP="00A34A43">
            <w:pPr>
              <w:jc w:val="center"/>
              <w:rPr>
                <w:rFonts w:ascii="Bookman Old Style" w:hAnsi="Bookman Old Style"/>
                <w:caps/>
                <w:sz w:val="18"/>
              </w:rPr>
            </w:pPr>
          </w:p>
        </w:tc>
      </w:tr>
      <w:tr w:rsidR="003F1E4E" w:rsidTr="00697D15">
        <w:trPr>
          <w:trHeight w:val="284"/>
        </w:trPr>
        <w:tc>
          <w:tcPr>
            <w:tcW w:w="2766" w:type="dxa"/>
            <w:vAlign w:val="center"/>
          </w:tcPr>
          <w:p w:rsidR="003F1E4E" w:rsidRDefault="003F1E4E" w:rsidP="003F1E4E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  <w:r w:rsidRPr="00A25C13">
              <w:rPr>
                <w:rFonts w:ascii="Bookman Old Style" w:hAnsi="Bookman Old Style"/>
                <w:iCs/>
                <w:caps/>
                <w:sz w:val="18"/>
              </w:rPr>
              <w:t>Váš dopis zn</w:t>
            </w:r>
            <w:r>
              <w:rPr>
                <w:rFonts w:ascii="Bookman Old Style" w:hAnsi="Bookman Old Style"/>
                <w:iCs/>
                <w:caps/>
                <w:sz w:val="18"/>
              </w:rPr>
              <w:t>.:</w:t>
            </w:r>
          </w:p>
          <w:p w:rsidR="003F1E4E" w:rsidRPr="00A25C13" w:rsidRDefault="00F054F9" w:rsidP="0058432C">
            <w:pPr>
              <w:jc w:val="center"/>
              <w:rPr>
                <w:rFonts w:ascii="Bookman Old Style" w:hAnsi="Bookman Old Style"/>
                <w:sz w:val="18"/>
              </w:rPr>
            </w:pPr>
            <w:r w:rsidRPr="00F054F9">
              <w:rPr>
                <w:rFonts w:ascii="Bookman Old Style" w:hAnsi="Bookman Old Style"/>
                <w:sz w:val="18"/>
              </w:rPr>
              <w:t>Č. spisu: 19/02272</w:t>
            </w:r>
          </w:p>
        </w:tc>
        <w:tc>
          <w:tcPr>
            <w:tcW w:w="2693" w:type="dxa"/>
            <w:vAlign w:val="center"/>
          </w:tcPr>
          <w:p w:rsidR="003F1E4E" w:rsidRDefault="003F1E4E" w:rsidP="003F1E4E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  <w:r w:rsidRPr="00A25C13">
              <w:rPr>
                <w:rFonts w:ascii="Bookman Old Style" w:hAnsi="Bookman Old Style"/>
                <w:iCs/>
                <w:caps/>
                <w:sz w:val="18"/>
              </w:rPr>
              <w:t>Naše značka</w:t>
            </w:r>
            <w:r>
              <w:rPr>
                <w:rFonts w:ascii="Bookman Old Style" w:hAnsi="Bookman Old Style"/>
                <w:iCs/>
                <w:caps/>
                <w:sz w:val="18"/>
              </w:rPr>
              <w:t>:</w:t>
            </w:r>
          </w:p>
          <w:p w:rsidR="003F1E4E" w:rsidRPr="00DA6DDA" w:rsidRDefault="002544CA" w:rsidP="00BE7E98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  <w:r>
              <w:rPr>
                <w:rFonts w:ascii="Bookman Old Style" w:hAnsi="Bookman Old Style"/>
                <w:iCs/>
                <w:caps/>
                <w:sz w:val="18"/>
              </w:rPr>
              <w:t>335166</w:t>
            </w:r>
            <w:r w:rsidR="007C5C6C">
              <w:rPr>
                <w:rFonts w:ascii="Bookman Old Style" w:hAnsi="Bookman Old Style"/>
                <w:iCs/>
                <w:caps/>
                <w:sz w:val="18"/>
              </w:rPr>
              <w:t>-5</w:t>
            </w:r>
            <w:r w:rsidR="001F7B7C">
              <w:rPr>
                <w:rFonts w:ascii="Bookman Old Style" w:hAnsi="Bookman Old Style"/>
                <w:iCs/>
                <w:caps/>
                <w:sz w:val="18"/>
              </w:rPr>
              <w:t>/2020</w:t>
            </w:r>
            <w:r w:rsidR="002D3F57">
              <w:rPr>
                <w:rFonts w:ascii="Bookman Old Style" w:hAnsi="Bookman Old Style"/>
                <w:iCs/>
                <w:caps/>
                <w:sz w:val="18"/>
              </w:rPr>
              <w:t>-</w:t>
            </w:r>
            <w:r w:rsidR="003F1E4E">
              <w:rPr>
                <w:rFonts w:ascii="Bookman Old Style" w:hAnsi="Bookman Old Style"/>
                <w:iCs/>
                <w:caps/>
                <w:sz w:val="18"/>
              </w:rPr>
              <w:t>510000-11</w:t>
            </w:r>
          </w:p>
        </w:tc>
        <w:tc>
          <w:tcPr>
            <w:tcW w:w="1985" w:type="dxa"/>
            <w:vAlign w:val="center"/>
          </w:tcPr>
          <w:p w:rsidR="003F1E4E" w:rsidRDefault="003F1E4E" w:rsidP="00A34A43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  <w:r w:rsidRPr="00A25C13">
              <w:rPr>
                <w:rFonts w:ascii="Bookman Old Style" w:hAnsi="Bookman Old Style"/>
                <w:iCs/>
                <w:caps/>
                <w:sz w:val="18"/>
              </w:rPr>
              <w:t>Vyřizuje / linka</w:t>
            </w:r>
            <w:r>
              <w:rPr>
                <w:rFonts w:ascii="Bookman Old Style" w:hAnsi="Bookman Old Style"/>
                <w:iCs/>
                <w:caps/>
                <w:sz w:val="18"/>
              </w:rPr>
              <w:t xml:space="preserve">: </w:t>
            </w:r>
          </w:p>
          <w:p w:rsidR="003F1E4E" w:rsidRPr="00DA6DDA" w:rsidRDefault="0062627A" w:rsidP="00F64771">
            <w:pPr>
              <w:jc w:val="center"/>
              <w:rPr>
                <w:rFonts w:ascii="Bookman Old Style" w:hAnsi="Bookman Old Style"/>
                <w:iCs/>
                <w:caps/>
                <w:sz w:val="18"/>
              </w:rPr>
            </w:pPr>
            <w:r>
              <w:rPr>
                <w:rStyle w:val="Nadpis3Char"/>
                <w:rFonts w:ascii="Bookman Old Style" w:hAnsi="Bookman Old Style"/>
                <w:b w:val="0"/>
                <w:sz w:val="20"/>
                <w:szCs w:val="20"/>
              </w:rPr>
              <w:t>Budlovský</w:t>
            </w:r>
            <w:r w:rsidR="003F1E4E" w:rsidRPr="003F1E4E">
              <w:rPr>
                <w:rStyle w:val="Nadpis3Char"/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="003F1E4E">
              <w:rPr>
                <w:rFonts w:ascii="Bookman Old Style" w:hAnsi="Bookman Old Style"/>
                <w:iCs/>
                <w:caps/>
                <w:sz w:val="18"/>
              </w:rPr>
              <w:t>/ 4</w:t>
            </w:r>
            <w:r w:rsidR="00F64771">
              <w:rPr>
                <w:rFonts w:ascii="Bookman Old Style" w:hAnsi="Bookman Old Style"/>
                <w:iCs/>
                <w:caps/>
                <w:sz w:val="18"/>
              </w:rPr>
              <w:t>364</w:t>
            </w:r>
          </w:p>
        </w:tc>
        <w:tc>
          <w:tcPr>
            <w:tcW w:w="2054" w:type="dxa"/>
            <w:vAlign w:val="center"/>
          </w:tcPr>
          <w:p w:rsidR="003F1E4E" w:rsidRDefault="003F1E4E" w:rsidP="00A34A4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aps/>
                <w:sz w:val="18"/>
              </w:rPr>
              <w:t xml:space="preserve">PRAHA, DNE: </w:t>
            </w:r>
          </w:p>
          <w:p w:rsidR="003F1E4E" w:rsidRPr="00DA6DDA" w:rsidRDefault="002544CA" w:rsidP="0019739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4. 6</w:t>
            </w:r>
            <w:r w:rsidR="001F7B7C">
              <w:rPr>
                <w:rFonts w:ascii="Bookman Old Style" w:hAnsi="Bookman Old Style"/>
                <w:sz w:val="18"/>
              </w:rPr>
              <w:t xml:space="preserve">. 2020 </w:t>
            </w:r>
          </w:p>
        </w:tc>
      </w:tr>
    </w:tbl>
    <w:p w:rsidR="001A299E" w:rsidRDefault="001A299E" w:rsidP="00BE7E98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lang w:eastAsia="en-US"/>
        </w:rPr>
      </w:pPr>
    </w:p>
    <w:p w:rsidR="001A299E" w:rsidRPr="001A299E" w:rsidRDefault="001A299E" w:rsidP="001A299E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color w:val="000000"/>
        </w:rPr>
      </w:pPr>
      <w:r w:rsidRPr="001A299E">
        <w:rPr>
          <w:rFonts w:ascii="TimesNewRomanPS-BoldMT" w:eastAsia="Calibri" w:hAnsi="TimesNewRomanPS-BoldMT" w:cs="TimesNewRomanPS-BoldMT"/>
          <w:b/>
          <w:bCs/>
          <w:color w:val="000000"/>
        </w:rPr>
        <w:t xml:space="preserve">Odpověď na žádost o informaci podle zákona č. 106/1999 Sb., o svobodném přístupu k informacím, ve znění pozdějších předpisů  </w:t>
      </w:r>
    </w:p>
    <w:p w:rsidR="001A299E" w:rsidRPr="001A299E" w:rsidRDefault="001A299E" w:rsidP="001A299E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color w:val="000000"/>
        </w:rPr>
      </w:pPr>
    </w:p>
    <w:p w:rsidR="001A299E" w:rsidRPr="001A299E" w:rsidRDefault="001A299E" w:rsidP="001A299E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0"/>
        </w:rPr>
      </w:pPr>
      <w:r w:rsidRPr="001A299E">
        <w:rPr>
          <w:rFonts w:ascii="TimesNewRomanPSMT" w:eastAsia="Calibri" w:hAnsi="TimesNewRomanPSMT" w:cs="TimesNewRomanPSMT"/>
          <w:color w:val="000000"/>
        </w:rPr>
        <w:t xml:space="preserve">           Vážený žadateli,</w:t>
      </w:r>
    </w:p>
    <w:p w:rsidR="001A299E" w:rsidRPr="001A299E" w:rsidRDefault="001A299E" w:rsidP="001A299E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0"/>
        </w:rPr>
      </w:pPr>
    </w:p>
    <w:p w:rsidR="001A299E" w:rsidRPr="001A299E" w:rsidRDefault="001A299E" w:rsidP="001A299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 w:rsidRPr="001A299E">
        <w:rPr>
          <w:rFonts w:ascii="TimesNewRomanPSMT" w:eastAsia="Calibri" w:hAnsi="TimesNewRomanPSMT" w:cs="TimesNewRomanPSMT"/>
          <w:color w:val="000000"/>
        </w:rPr>
        <w:t xml:space="preserve">           dne </w:t>
      </w:r>
      <w:r w:rsidR="002544CA">
        <w:rPr>
          <w:rFonts w:ascii="TimesNewRomanPSMT" w:eastAsia="Calibri" w:hAnsi="TimesNewRomanPSMT" w:cs="TimesNewRomanPSMT"/>
          <w:color w:val="000000"/>
        </w:rPr>
        <w:t>18. 5</w:t>
      </w:r>
      <w:r>
        <w:rPr>
          <w:rFonts w:ascii="TimesNewRomanPSMT" w:eastAsia="Calibri" w:hAnsi="TimesNewRomanPSMT" w:cs="TimesNewRomanPSMT"/>
          <w:color w:val="000000"/>
        </w:rPr>
        <w:t>. 2020</w:t>
      </w:r>
      <w:r w:rsidRPr="001A299E">
        <w:rPr>
          <w:rFonts w:ascii="TimesNewRomanPSMT" w:eastAsia="Calibri" w:hAnsi="TimesNewRomanPSMT" w:cs="TimesNewRomanPSMT"/>
          <w:color w:val="000000"/>
        </w:rPr>
        <w:t xml:space="preserve"> pod č</w:t>
      </w:r>
      <w:r w:rsidR="002544CA">
        <w:rPr>
          <w:rFonts w:ascii="TimesNewRomanPSMT" w:eastAsia="Calibri" w:hAnsi="TimesNewRomanPSMT" w:cs="TimesNewRomanPSMT"/>
          <w:color w:val="000000"/>
        </w:rPr>
        <w:t xml:space="preserve">. </w:t>
      </w:r>
      <w:r w:rsidRPr="001A299E">
        <w:rPr>
          <w:rFonts w:ascii="TimesNewRomanPSMT" w:eastAsia="Calibri" w:hAnsi="TimesNewRomanPSMT" w:cs="TimesNewRomanPSMT"/>
          <w:color w:val="000000"/>
        </w:rPr>
        <w:t>j.</w:t>
      </w:r>
      <w:r w:rsidR="002544CA">
        <w:rPr>
          <w:rFonts w:ascii="TimesNewRomanPSMT" w:eastAsia="Calibri" w:hAnsi="TimesNewRomanPSMT" w:cs="TimesNewRomanPSMT"/>
          <w:color w:val="000000"/>
        </w:rPr>
        <w:t xml:space="preserve"> 335166</w:t>
      </w:r>
      <w:r>
        <w:rPr>
          <w:rFonts w:ascii="TimesNewRomanPSMT" w:eastAsia="Calibri" w:hAnsi="TimesNewRomanPSMT" w:cs="TimesNewRomanPSMT"/>
          <w:color w:val="000000"/>
        </w:rPr>
        <w:t>/2020</w:t>
      </w:r>
      <w:r w:rsidRPr="001A299E">
        <w:rPr>
          <w:rFonts w:ascii="TimesNewRomanPSMT" w:eastAsia="Calibri" w:hAnsi="TimesNewRomanPSMT" w:cs="TimesNewRomanPSMT"/>
          <w:color w:val="000000"/>
        </w:rPr>
        <w:t xml:space="preserve">-510000-11 přijal Celní úřad pro hlavní město Prahu (dále jen „povinný subjekt“) žádost o poskytnutí informací podle zákona č. 106/1999 Sb., o svobodném přístupu k informacím, ve znění pozdějších předpisů (dále jen „informační zákon“), ve které žádáte o poskytnutí informací: </w:t>
      </w:r>
    </w:p>
    <w:p w:rsidR="001A299E" w:rsidRPr="001A299E" w:rsidRDefault="001A299E" w:rsidP="001A299E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0"/>
        </w:rPr>
      </w:pPr>
    </w:p>
    <w:p w:rsidR="001A299E" w:rsidRDefault="001A299E" w:rsidP="001A299E">
      <w:pPr>
        <w:autoSpaceDE w:val="0"/>
        <w:autoSpaceDN w:val="0"/>
        <w:adjustRightInd w:val="0"/>
        <w:contextualSpacing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>Požadovaná žádost:</w:t>
      </w:r>
    </w:p>
    <w:p w:rsidR="001A299E" w:rsidRDefault="001A299E" w:rsidP="001A299E">
      <w:pPr>
        <w:autoSpaceDE w:val="0"/>
        <w:autoSpaceDN w:val="0"/>
        <w:adjustRightInd w:val="0"/>
        <w:contextualSpacing/>
        <w:jc w:val="both"/>
        <w:rPr>
          <w:rFonts w:ascii="TimesNewRomanPSMT" w:eastAsia="Calibri" w:hAnsi="TimesNewRomanPSMT" w:cs="TimesNewRomanPSMT"/>
          <w:color w:val="000000"/>
        </w:rPr>
      </w:pPr>
    </w:p>
    <w:p w:rsidR="007C5C6C" w:rsidRDefault="001A299E" w:rsidP="007C5C6C">
      <w:pPr>
        <w:autoSpaceDE w:val="0"/>
        <w:autoSpaceDN w:val="0"/>
        <w:adjustRightInd w:val="0"/>
        <w:contextualSpacing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 Ž</w:t>
      </w:r>
      <w:r w:rsidRPr="001A299E">
        <w:rPr>
          <w:rFonts w:ascii="TimesNewRomanPSMT" w:eastAsia="Calibri" w:hAnsi="TimesNewRomanPSMT" w:cs="TimesNewRomanPSMT"/>
          <w:color w:val="000000"/>
        </w:rPr>
        <w:t xml:space="preserve">ádáme o </w:t>
      </w:r>
      <w:r w:rsidR="007C5C6C">
        <w:rPr>
          <w:rFonts w:ascii="TimesNewRomanPSMT" w:eastAsia="Calibri" w:hAnsi="TimesNewRomanPSMT" w:cs="TimesNewRomanPSMT"/>
          <w:color w:val="000000"/>
        </w:rPr>
        <w:t>p</w:t>
      </w:r>
      <w:r w:rsidR="007C5C6C" w:rsidRPr="007C5C6C">
        <w:rPr>
          <w:rFonts w:ascii="TimesNewRomanPSMT" w:eastAsia="Calibri" w:hAnsi="TimesNewRomanPSMT" w:cs="TimesNewRomanPSMT"/>
          <w:color w:val="000000"/>
        </w:rPr>
        <w:t>oskytnutí povolení</w:t>
      </w:r>
      <w:r w:rsidR="007C5C6C">
        <w:rPr>
          <w:rFonts w:ascii="TimesNewRomanPSMT" w:eastAsia="Calibri" w:hAnsi="TimesNewRomanPSMT" w:cs="TimesNewRomanPSMT"/>
          <w:color w:val="000000"/>
        </w:rPr>
        <w:t xml:space="preserve"> </w:t>
      </w:r>
      <w:r w:rsidR="007C5C6C" w:rsidRPr="007C5C6C">
        <w:rPr>
          <w:rFonts w:ascii="TimesNewRomanPSMT" w:eastAsia="Calibri" w:hAnsi="TimesNewRomanPSMT" w:cs="TimesNewRomanPSMT"/>
          <w:color w:val="000000"/>
        </w:rPr>
        <w:t xml:space="preserve">k provozování daňového skladu </w:t>
      </w:r>
      <w:r w:rsidR="007C5C6C" w:rsidRPr="00FE3CCE">
        <w:rPr>
          <w:rFonts w:ascii="TimesNewRomanPSMT" w:eastAsia="Calibri" w:hAnsi="TimesNewRomanPSMT" w:cs="TimesNewRomanPSMT"/>
          <w:b/>
          <w:color w:val="000000"/>
        </w:rPr>
        <w:t>č.j. 9420/06-1701-23/ROZ dne 14.9.2006, platné od</w:t>
      </w:r>
      <w:r w:rsidR="007C5C6C" w:rsidRPr="00FE3CCE">
        <w:rPr>
          <w:rFonts w:ascii="TimesNewRomanPSMT" w:eastAsia="Calibri" w:hAnsi="TimesNewRomanPSMT" w:cs="TimesNewRomanPSMT"/>
          <w:b/>
          <w:color w:val="000000"/>
        </w:rPr>
        <w:t xml:space="preserve"> </w:t>
      </w:r>
      <w:r w:rsidR="007C5C6C" w:rsidRPr="00FE3CCE">
        <w:rPr>
          <w:rFonts w:ascii="TimesNewRomanPSMT" w:eastAsia="Calibri" w:hAnsi="TimesNewRomanPSMT" w:cs="TimesNewRomanPSMT"/>
          <w:b/>
          <w:color w:val="000000"/>
        </w:rPr>
        <w:t>9.10.2006 do 2.11.2009</w:t>
      </w:r>
      <w:r w:rsidR="007C5C6C" w:rsidRPr="007C5C6C">
        <w:rPr>
          <w:rFonts w:ascii="TimesNewRomanPSMT" w:eastAsia="Calibri" w:hAnsi="TimesNewRomanPSMT" w:cs="TimesNewRomanPSMT"/>
          <w:color w:val="000000"/>
        </w:rPr>
        <w:t>, povolení č.j. 11795/2009-170100-23 dne 21.10.2009 platné</w:t>
      </w:r>
      <w:r w:rsidR="007C5C6C">
        <w:rPr>
          <w:rFonts w:ascii="TimesNewRomanPSMT" w:eastAsia="Calibri" w:hAnsi="TimesNewRomanPSMT" w:cs="TimesNewRomanPSMT"/>
          <w:color w:val="000000"/>
        </w:rPr>
        <w:t xml:space="preserve"> </w:t>
      </w:r>
      <w:r w:rsidR="007C5C6C" w:rsidRPr="007C5C6C">
        <w:rPr>
          <w:rFonts w:ascii="TimesNewRomanPSMT" w:eastAsia="Calibri" w:hAnsi="TimesNewRomanPSMT" w:cs="TimesNewRomanPSMT"/>
          <w:color w:val="000000"/>
        </w:rPr>
        <w:t>od 2.11.2009 do 30.11.2009 povolení č.j. 17941-6/2009-170100-23 dne 30.11.2009</w:t>
      </w:r>
      <w:r w:rsidR="007C5C6C">
        <w:rPr>
          <w:rFonts w:ascii="TimesNewRomanPSMT" w:eastAsia="Calibri" w:hAnsi="TimesNewRomanPSMT" w:cs="TimesNewRomanPSMT"/>
          <w:color w:val="000000"/>
        </w:rPr>
        <w:t xml:space="preserve"> </w:t>
      </w:r>
      <w:r w:rsidR="007C5C6C" w:rsidRPr="007C5C6C">
        <w:rPr>
          <w:rFonts w:ascii="TimesNewRomanPSMT" w:eastAsia="Calibri" w:hAnsi="TimesNewRomanPSMT" w:cs="TimesNewRomanPSMT"/>
          <w:color w:val="000000"/>
        </w:rPr>
        <w:t>platné od 30.11.2009 do 16.2.2010, povolení č.j. 2096-2/2010-170100-23 dne</w:t>
      </w:r>
      <w:r w:rsidR="007C5C6C">
        <w:rPr>
          <w:rFonts w:ascii="TimesNewRomanPSMT" w:eastAsia="Calibri" w:hAnsi="TimesNewRomanPSMT" w:cs="TimesNewRomanPSMT"/>
          <w:color w:val="000000"/>
        </w:rPr>
        <w:t xml:space="preserve"> </w:t>
      </w:r>
      <w:r w:rsidR="007C5C6C" w:rsidRPr="007C5C6C">
        <w:rPr>
          <w:rFonts w:ascii="TimesNewRomanPSMT" w:eastAsia="Calibri" w:hAnsi="TimesNewRomanPSMT" w:cs="TimesNewRomanPSMT"/>
          <w:color w:val="000000"/>
        </w:rPr>
        <w:t>5.2.2010 platné od 16.2.2010 do 17.2.2010, povolení č.j. 3901-2/2010-170100 dne</w:t>
      </w:r>
      <w:r w:rsidR="007C5C6C">
        <w:rPr>
          <w:rFonts w:ascii="TimesNewRomanPSMT" w:eastAsia="Calibri" w:hAnsi="TimesNewRomanPSMT" w:cs="TimesNewRomanPSMT"/>
          <w:color w:val="000000"/>
        </w:rPr>
        <w:t xml:space="preserve"> </w:t>
      </w:r>
      <w:r w:rsidR="007C5C6C" w:rsidRPr="007C5C6C">
        <w:rPr>
          <w:rFonts w:ascii="TimesNewRomanPSMT" w:eastAsia="Calibri" w:hAnsi="TimesNewRomanPSMT" w:cs="TimesNewRomanPSMT"/>
          <w:color w:val="000000"/>
        </w:rPr>
        <w:t>16.2.2010 platné od 17.2.2010 do 1.4.2010, včetně příloh k jednotlivým (shora</w:t>
      </w:r>
      <w:r w:rsidR="007C5C6C">
        <w:rPr>
          <w:rFonts w:ascii="TimesNewRomanPSMT" w:eastAsia="Calibri" w:hAnsi="TimesNewRomanPSMT" w:cs="TimesNewRomanPSMT"/>
          <w:color w:val="000000"/>
        </w:rPr>
        <w:t xml:space="preserve"> uvedeným) povolení</w:t>
      </w:r>
    </w:p>
    <w:p w:rsidR="007C5C6C" w:rsidRDefault="007C5C6C" w:rsidP="007C5C6C">
      <w:pPr>
        <w:autoSpaceDE w:val="0"/>
        <w:autoSpaceDN w:val="0"/>
        <w:adjustRightInd w:val="0"/>
        <w:contextualSpacing/>
        <w:jc w:val="both"/>
        <w:rPr>
          <w:rFonts w:ascii="TimesNewRomanPSMT" w:eastAsia="Calibri" w:hAnsi="TimesNewRomanPSMT" w:cs="TimesNewRomanPSMT"/>
          <w:color w:val="000000"/>
        </w:rPr>
      </w:pPr>
    </w:p>
    <w:p w:rsidR="001A299E" w:rsidRPr="001A299E" w:rsidRDefault="001A299E" w:rsidP="007C5C6C">
      <w:pPr>
        <w:autoSpaceDE w:val="0"/>
        <w:autoSpaceDN w:val="0"/>
        <w:adjustRightInd w:val="0"/>
        <w:contextualSpacing/>
        <w:jc w:val="both"/>
        <w:rPr>
          <w:rFonts w:ascii="TimesNewRomanPSMT" w:eastAsia="Calibri" w:hAnsi="TimesNewRomanPSMT" w:cs="TimesNewRomanPSMT"/>
          <w:color w:val="000000"/>
        </w:rPr>
      </w:pPr>
      <w:r w:rsidRPr="001A299E">
        <w:rPr>
          <w:rFonts w:ascii="TimesNewRomanPSMT" w:eastAsia="Calibri" w:hAnsi="TimesNewRomanPSMT" w:cs="TimesNewRomanPSMT"/>
          <w:color w:val="000000"/>
        </w:rPr>
        <w:t>Poskytnuté odpovědi:</w:t>
      </w:r>
    </w:p>
    <w:p w:rsidR="00FE3CCE" w:rsidRDefault="00FE3CCE" w:rsidP="00FE3CC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  Vzhledem k velikostem požadovaných souborů a omezenému množství dat, umožňující zaslání datovou schránkou, rozdělil povinný subjekt odpovědi dle jednotlivých požadovaných povolení (zvýrazněno výše).</w:t>
      </w:r>
    </w:p>
    <w:p w:rsidR="001A299E" w:rsidRPr="001A299E" w:rsidRDefault="00FE3CCE" w:rsidP="001A299E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</w:t>
      </w:r>
    </w:p>
    <w:p w:rsidR="001A299E" w:rsidRPr="001A299E" w:rsidRDefault="001A299E" w:rsidP="00D43605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 w:rsidRPr="001A299E">
        <w:rPr>
          <w:rFonts w:ascii="TimesNewRomanPSMT" w:eastAsia="Calibri" w:hAnsi="TimesNewRomanPSMT" w:cs="TimesNewRomanPSMT"/>
          <w:color w:val="000000"/>
        </w:rPr>
        <w:t xml:space="preserve">             Celní úřad pro hlavní město Prahu </w:t>
      </w:r>
      <w:r w:rsidR="00D43605" w:rsidRPr="00D43605">
        <w:rPr>
          <w:rFonts w:ascii="TimesNewRomanPSMT" w:eastAsia="Calibri" w:hAnsi="TimesNewRomanPSMT" w:cs="TimesNewRomanPSMT"/>
          <w:color w:val="000000"/>
        </w:rPr>
        <w:t xml:space="preserve">jako orgán věcně a místně příslušný ve smyslu § 2 odst. 1 zákona č. 106/1999 Sb., o svobodném přístupu k informacím, ve znění pozdějších předpisů (dále jen „informační zákon"), rozhodl podle ustanovení § 20 odst. 4 písm. a) informačního zákona a za použití zákona č. 500/2004 Sb., správní řád, ve znění pozdějších předpisů (dále jen „správní řád“) tak, že žádost podanou </w:t>
      </w:r>
      <w:r w:rsidR="00D43605">
        <w:rPr>
          <w:rFonts w:ascii="TimesNewRomanPSMT" w:eastAsia="Calibri" w:hAnsi="TimesNewRomanPSMT" w:cs="TimesNewRomanPSMT"/>
          <w:color w:val="000000"/>
        </w:rPr>
        <w:t>JUDr. Ing. Václavem Chumem LL.M.</w:t>
      </w:r>
      <w:r w:rsidR="00D43605" w:rsidRPr="00D43605">
        <w:rPr>
          <w:rFonts w:ascii="TimesNewRomanPSMT" w:eastAsia="Calibri" w:hAnsi="TimesNewRomanPSMT" w:cs="TimesNewRomanPSMT"/>
          <w:color w:val="000000"/>
        </w:rPr>
        <w:t xml:space="preserve">, kterou </w:t>
      </w:r>
      <w:r w:rsidR="00D43605">
        <w:rPr>
          <w:rFonts w:ascii="TimesNewRomanPSMT" w:eastAsia="Calibri" w:hAnsi="TimesNewRomanPSMT" w:cs="TimesNewRomanPSMT"/>
          <w:color w:val="000000"/>
        </w:rPr>
        <w:t>povinný subjekt</w:t>
      </w:r>
      <w:r w:rsidR="00D43605" w:rsidRPr="00D43605">
        <w:rPr>
          <w:rFonts w:ascii="TimesNewRomanPSMT" w:eastAsia="Calibri" w:hAnsi="TimesNewRomanPSMT" w:cs="TimesNewRomanPSMT"/>
          <w:color w:val="000000"/>
        </w:rPr>
        <w:t xml:space="preserve"> obdržel dne </w:t>
      </w:r>
      <w:r w:rsidR="00D43605">
        <w:rPr>
          <w:rFonts w:ascii="TimesNewRomanPSMT" w:eastAsia="Calibri" w:hAnsi="TimesNewRomanPSMT" w:cs="TimesNewRomanPSMT"/>
          <w:color w:val="000000"/>
        </w:rPr>
        <w:t>18. 5. 2020</w:t>
      </w:r>
      <w:r w:rsidR="00D43605" w:rsidRPr="00D43605">
        <w:rPr>
          <w:rFonts w:ascii="TimesNewRomanPSMT" w:eastAsia="Calibri" w:hAnsi="TimesNewRomanPSMT" w:cs="TimesNewRomanPSMT"/>
          <w:color w:val="000000"/>
        </w:rPr>
        <w:t xml:space="preserve">, na základě ustanovení §15, §10 a § </w:t>
      </w:r>
      <w:r w:rsidR="00D43605">
        <w:rPr>
          <w:rFonts w:ascii="TimesNewRomanPSMT" w:eastAsia="Calibri" w:hAnsi="TimesNewRomanPSMT" w:cs="TimesNewRomanPSMT"/>
          <w:color w:val="000000"/>
        </w:rPr>
        <w:t>11</w:t>
      </w:r>
      <w:r w:rsidR="00D43605" w:rsidRPr="00D43605">
        <w:rPr>
          <w:rFonts w:ascii="TimesNewRomanPSMT" w:eastAsia="Calibri" w:hAnsi="TimesNewRomanPSMT" w:cs="TimesNewRomanPSMT"/>
          <w:color w:val="000000"/>
        </w:rPr>
        <w:t xml:space="preserve"> informačního zákona částečně odmítá</w:t>
      </w:r>
      <w:r w:rsidR="00D43605">
        <w:rPr>
          <w:rFonts w:ascii="TimesNewRomanPSMT" w:eastAsia="Calibri" w:hAnsi="TimesNewRomanPSMT" w:cs="TimesNewRomanPSMT"/>
          <w:color w:val="000000"/>
        </w:rPr>
        <w:t xml:space="preserve"> a</w:t>
      </w:r>
      <w:r w:rsidR="00F054F9">
        <w:rPr>
          <w:rFonts w:ascii="TimesNewRomanPSMT" w:eastAsia="Calibri" w:hAnsi="TimesNewRomanPSMT" w:cs="TimesNewRomanPSMT"/>
          <w:color w:val="000000"/>
        </w:rPr>
        <w:t xml:space="preserve"> po úhradě nákladů za mimořádně rozsáhlé vyhledání informací,</w:t>
      </w:r>
      <w:r>
        <w:rPr>
          <w:rFonts w:ascii="TimesNewRomanPSMT" w:eastAsia="Calibri" w:hAnsi="TimesNewRomanPSMT" w:cs="TimesNewRomanPSMT"/>
          <w:color w:val="000000"/>
        </w:rPr>
        <w:t xml:space="preserve"> v příloze poskytuje anonymizovanou verzi povolení společnosti ČEPRO k provozování daňového skladu s přílohami</w:t>
      </w:r>
      <w:r w:rsidRPr="001A299E">
        <w:rPr>
          <w:rFonts w:ascii="TimesNewRomanPSMT" w:eastAsia="Calibri" w:hAnsi="TimesNewRomanPSMT" w:cs="TimesNewRomanPSMT"/>
          <w:color w:val="000000"/>
        </w:rPr>
        <w:t>.</w:t>
      </w:r>
    </w:p>
    <w:p w:rsidR="001A299E" w:rsidRPr="001A299E" w:rsidRDefault="001A299E" w:rsidP="001A299E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0"/>
        </w:rPr>
      </w:pPr>
    </w:p>
    <w:p w:rsidR="000B5A48" w:rsidRPr="000B5A48" w:rsidRDefault="000B5A48" w:rsidP="005619D2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color w:val="000000"/>
        </w:rPr>
      </w:pPr>
      <w:r w:rsidRPr="000B5A48">
        <w:rPr>
          <w:rFonts w:ascii="TimesNewRomanPSMT" w:eastAsia="Calibri" w:hAnsi="TimesNewRomanPSMT" w:cs="TimesNewRomanPSMT"/>
          <w:color w:val="000000"/>
        </w:rPr>
        <w:t>Odůvodnění</w:t>
      </w:r>
    </w:p>
    <w:p w:rsidR="000B5A48" w:rsidRPr="000B5A48" w:rsidRDefault="000B5A48" w:rsidP="000B5A48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0"/>
        </w:rPr>
      </w:pPr>
    </w:p>
    <w:p w:rsidR="005619D2" w:rsidRDefault="005619D2" w:rsidP="005619D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   </w:t>
      </w:r>
      <w:r w:rsidR="000B5A48" w:rsidRPr="000B5A48">
        <w:rPr>
          <w:rFonts w:ascii="TimesNewRomanPSMT" w:eastAsia="Calibri" w:hAnsi="TimesNewRomanPSMT" w:cs="TimesNewRomanPSMT"/>
          <w:color w:val="000000"/>
        </w:rPr>
        <w:t xml:space="preserve">Dne </w:t>
      </w:r>
      <w:r>
        <w:rPr>
          <w:rFonts w:ascii="TimesNewRomanPSMT" w:eastAsia="Calibri" w:hAnsi="TimesNewRomanPSMT" w:cs="TimesNewRomanPSMT"/>
          <w:color w:val="000000"/>
        </w:rPr>
        <w:t>18. 5. 2020</w:t>
      </w:r>
      <w:r w:rsidR="000B5A48" w:rsidRPr="000B5A48">
        <w:rPr>
          <w:rFonts w:ascii="TimesNewRomanPSMT" w:eastAsia="Calibri" w:hAnsi="TimesNewRomanPSMT" w:cs="TimesNewRomanPSMT"/>
          <w:color w:val="000000"/>
        </w:rPr>
        <w:t xml:space="preserve"> </w:t>
      </w:r>
      <w:r>
        <w:rPr>
          <w:rFonts w:ascii="TimesNewRomanPSMT" w:eastAsia="Calibri" w:hAnsi="TimesNewRomanPSMT" w:cs="TimesNewRomanPSMT"/>
          <w:color w:val="000000"/>
        </w:rPr>
        <w:t>povinný subjekt</w:t>
      </w:r>
      <w:r w:rsidR="000B5A48" w:rsidRPr="000B5A48">
        <w:rPr>
          <w:rFonts w:ascii="TimesNewRomanPSMT" w:eastAsia="Calibri" w:hAnsi="TimesNewRomanPSMT" w:cs="TimesNewRomanPSMT"/>
          <w:color w:val="000000"/>
        </w:rPr>
        <w:t xml:space="preserve"> obdržel prostřednictvím elektronické podatelny žádost </w:t>
      </w:r>
      <w:r w:rsidRPr="005619D2">
        <w:rPr>
          <w:rFonts w:ascii="TimesNewRomanPSMT" w:eastAsia="Calibri" w:hAnsi="TimesNewRomanPSMT" w:cs="TimesNewRomanPSMT"/>
          <w:color w:val="000000"/>
        </w:rPr>
        <w:t>JUDr. Ing. Václav</w:t>
      </w:r>
      <w:r>
        <w:rPr>
          <w:rFonts w:ascii="TimesNewRomanPSMT" w:eastAsia="Calibri" w:hAnsi="TimesNewRomanPSMT" w:cs="TimesNewRomanPSMT"/>
          <w:color w:val="000000"/>
        </w:rPr>
        <w:t>a</w:t>
      </w:r>
      <w:r w:rsidRPr="005619D2">
        <w:rPr>
          <w:rFonts w:ascii="TimesNewRomanPSMT" w:eastAsia="Calibri" w:hAnsi="TimesNewRomanPSMT" w:cs="TimesNewRomanPSMT"/>
          <w:color w:val="000000"/>
        </w:rPr>
        <w:t xml:space="preserve"> Chum</w:t>
      </w:r>
      <w:r>
        <w:rPr>
          <w:rFonts w:ascii="TimesNewRomanPSMT" w:eastAsia="Calibri" w:hAnsi="TimesNewRomanPSMT" w:cs="TimesNewRomanPSMT"/>
          <w:color w:val="000000"/>
        </w:rPr>
        <w:t>a</w:t>
      </w:r>
      <w:r w:rsidRPr="005619D2">
        <w:rPr>
          <w:rFonts w:ascii="TimesNewRomanPSMT" w:eastAsia="Calibri" w:hAnsi="TimesNewRomanPSMT" w:cs="TimesNewRomanPSMT"/>
          <w:color w:val="000000"/>
        </w:rPr>
        <w:t xml:space="preserve"> LL.M.</w:t>
      </w:r>
      <w:r>
        <w:rPr>
          <w:rFonts w:ascii="TimesNewRomanPSMT" w:eastAsia="Calibri" w:hAnsi="TimesNewRomanPSMT" w:cs="TimesNewRomanPSMT"/>
          <w:color w:val="000000"/>
        </w:rPr>
        <w:t>, advokáta</w:t>
      </w:r>
      <w:r w:rsidR="000B5A48" w:rsidRPr="000B5A48">
        <w:rPr>
          <w:rFonts w:ascii="TimesNewRomanPSMT" w:eastAsia="Calibri" w:hAnsi="TimesNewRomanPSMT" w:cs="TimesNewRomanPSMT"/>
          <w:color w:val="000000"/>
        </w:rPr>
        <w:t xml:space="preserve">, (dále jen „žadatel“), o poskytnutí </w:t>
      </w:r>
      <w:r w:rsidRPr="005619D2">
        <w:rPr>
          <w:rFonts w:ascii="TimesNewRomanPSMT" w:eastAsia="Calibri" w:hAnsi="TimesNewRomanPSMT" w:cs="TimesNewRomanPSMT"/>
          <w:color w:val="000000"/>
        </w:rPr>
        <w:t>povolení k provozování daňového skladu a kopie plánů jednotlivých daňových skladů společnosti ČEPRO, a.s. včetně příloh</w:t>
      </w:r>
      <w:r>
        <w:rPr>
          <w:rFonts w:ascii="TimesNewRomanPSMT" w:eastAsia="Calibri" w:hAnsi="TimesNewRomanPSMT" w:cs="TimesNewRomanPSMT"/>
          <w:color w:val="000000"/>
        </w:rPr>
        <w:t>.</w:t>
      </w:r>
    </w:p>
    <w:p w:rsidR="005619D2" w:rsidRDefault="005619D2" w:rsidP="005619D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</w:p>
    <w:p w:rsidR="001A299E" w:rsidRDefault="005619D2" w:rsidP="005619D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    Povinný subjekt </w:t>
      </w:r>
      <w:r w:rsidR="000B5A48" w:rsidRPr="000B5A48">
        <w:rPr>
          <w:rFonts w:ascii="TimesNewRomanPSMT" w:eastAsia="Calibri" w:hAnsi="TimesNewRomanPSMT" w:cs="TimesNewRomanPSMT"/>
          <w:color w:val="000000"/>
        </w:rPr>
        <w:t xml:space="preserve">projednal a posoudil předmětnou žádost se závěrem, že žádost částečně odmítá, neboť požadované informace představují </w:t>
      </w:r>
      <w:r>
        <w:rPr>
          <w:rFonts w:ascii="TimesNewRomanPSMT" w:eastAsia="Calibri" w:hAnsi="TimesNewRomanPSMT" w:cs="TimesNewRomanPSMT"/>
          <w:color w:val="000000"/>
        </w:rPr>
        <w:t xml:space="preserve">informace o majetkových poměrech osoby, která není povinným subjektem, získané na základě daňových zákonů </w:t>
      </w:r>
      <w:r w:rsidR="002544CA">
        <w:rPr>
          <w:rFonts w:ascii="TimesNewRomanPSMT" w:eastAsia="Calibri" w:hAnsi="TimesNewRomanPSMT" w:cs="TimesNewRomanPSMT"/>
          <w:color w:val="000000"/>
        </w:rPr>
        <w:t xml:space="preserve">viz. § 10 informačního zákona </w:t>
      </w:r>
      <w:r>
        <w:rPr>
          <w:rFonts w:ascii="TimesNewRomanPSMT" w:eastAsia="Calibri" w:hAnsi="TimesNewRomanPSMT" w:cs="TimesNewRomanPSMT"/>
          <w:color w:val="000000"/>
        </w:rPr>
        <w:t>nebo se jedná o informace, které povinný subjekt získal od třetí osoby při plnění úkolů v rámci kontrolní, dozorové, dohledové nebo obdobné činnosti prováděné na základě zvláštního právního předpisu, podle kterého se na ně vztahuje povinnost mlčenlivosti</w:t>
      </w:r>
      <w:r w:rsidR="002544CA">
        <w:rPr>
          <w:rFonts w:ascii="TimesNewRomanPSMT" w:eastAsia="Calibri" w:hAnsi="TimesNewRomanPSMT" w:cs="TimesNewRomanPSMT"/>
          <w:color w:val="000000"/>
        </w:rPr>
        <w:t xml:space="preserve"> viz § 11 odst.3 informačního zákona.</w:t>
      </w:r>
    </w:p>
    <w:p w:rsidR="0089233D" w:rsidRDefault="0089233D" w:rsidP="005619D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 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Výluka poskytnutí informací se týká </w:t>
      </w:r>
      <w:r>
        <w:rPr>
          <w:rFonts w:ascii="TimesNewRomanPSMT" w:eastAsia="Calibri" w:hAnsi="TimesNewRomanPSMT" w:cs="TimesNewRomanPSMT"/>
          <w:color w:val="000000"/>
        </w:rPr>
        <w:t>ochrany důvěrnosti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 </w:t>
      </w:r>
      <w:r w:rsidR="009478EF">
        <w:rPr>
          <w:rFonts w:ascii="TimesNewRomanPSMT" w:eastAsia="Calibri" w:hAnsi="TimesNewRomanPSMT" w:cs="TimesNewRomanPSMT"/>
          <w:color w:val="000000"/>
        </w:rPr>
        <w:t xml:space="preserve">majetkových poměrů 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konkrétní </w:t>
      </w:r>
      <w:r>
        <w:rPr>
          <w:rFonts w:ascii="TimesNewRomanPSMT" w:eastAsia="Calibri" w:hAnsi="TimesNewRomanPSMT" w:cs="TimesNewRomanPSMT"/>
          <w:color w:val="000000"/>
        </w:rPr>
        <w:t>právnické osoby</w:t>
      </w:r>
      <w:r w:rsidRPr="0089233D">
        <w:rPr>
          <w:rFonts w:ascii="TimesNewRomanPSMT" w:eastAsia="Calibri" w:hAnsi="TimesNewRomanPSMT" w:cs="TimesNewRomanPSMT"/>
          <w:color w:val="000000"/>
        </w:rPr>
        <w:t>, kter</w:t>
      </w:r>
      <w:r w:rsidR="009478EF">
        <w:rPr>
          <w:rFonts w:ascii="TimesNewRomanPSMT" w:eastAsia="Calibri" w:hAnsi="TimesNewRomanPSMT" w:cs="TimesNewRomanPSMT"/>
          <w:color w:val="000000"/>
        </w:rPr>
        <w:t>á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 byl</w:t>
      </w:r>
      <w:r w:rsidR="009478EF">
        <w:rPr>
          <w:rFonts w:ascii="TimesNewRomanPSMT" w:eastAsia="Calibri" w:hAnsi="TimesNewRomanPSMT" w:cs="TimesNewRomanPSMT"/>
          <w:color w:val="000000"/>
        </w:rPr>
        <w:t>a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 zmíněn</w:t>
      </w:r>
      <w:r w:rsidR="009478EF">
        <w:rPr>
          <w:rFonts w:ascii="TimesNewRomanPSMT" w:eastAsia="Calibri" w:hAnsi="TimesNewRomanPSMT" w:cs="TimesNewRomanPSMT"/>
          <w:color w:val="000000"/>
        </w:rPr>
        <w:t>a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 v</w:t>
      </w:r>
      <w:r w:rsidR="009478EF">
        <w:rPr>
          <w:rFonts w:ascii="TimesNewRomanPSMT" w:eastAsia="Calibri" w:hAnsi="TimesNewRomanPSMT" w:cs="TimesNewRomanPSMT"/>
          <w:color w:val="000000"/>
        </w:rPr>
        <w:t> </w:t>
      </w:r>
      <w:r w:rsidRPr="0089233D">
        <w:rPr>
          <w:rFonts w:ascii="TimesNewRomanPSMT" w:eastAsia="Calibri" w:hAnsi="TimesNewRomanPSMT" w:cs="TimesNewRomanPSMT"/>
          <w:color w:val="000000"/>
        </w:rPr>
        <w:t>požadovan</w:t>
      </w:r>
      <w:r w:rsidR="009478EF">
        <w:rPr>
          <w:rFonts w:ascii="TimesNewRomanPSMT" w:eastAsia="Calibri" w:hAnsi="TimesNewRomanPSMT" w:cs="TimesNewRomanPSMT"/>
          <w:color w:val="000000"/>
        </w:rPr>
        <w:t xml:space="preserve">ém povolení </w:t>
      </w:r>
      <w:r w:rsidRPr="0089233D">
        <w:rPr>
          <w:rFonts w:ascii="TimesNewRomanPSMT" w:eastAsia="Calibri" w:hAnsi="TimesNewRomanPSMT" w:cs="TimesNewRomanPSMT"/>
          <w:color w:val="000000"/>
        </w:rPr>
        <w:t>tak, jak to vyplývá z informačního zákona. Povinný subjekt může vyjmout informace, které by jejich poskytnutím porušil</w:t>
      </w:r>
      <w:r w:rsidR="009478EF">
        <w:rPr>
          <w:rFonts w:ascii="TimesNewRomanPSMT" w:eastAsia="Calibri" w:hAnsi="TimesNewRomanPSMT" w:cs="TimesNewRomanPSMT"/>
          <w:color w:val="000000"/>
        </w:rPr>
        <w:t>y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 ochranu osobnosti a soukromí osob</w:t>
      </w:r>
      <w:r w:rsidR="009478EF">
        <w:rPr>
          <w:rFonts w:ascii="TimesNewRomanPSMT" w:eastAsia="Calibri" w:hAnsi="TimesNewRomanPSMT" w:cs="TimesNewRomanPSMT"/>
          <w:color w:val="000000"/>
        </w:rPr>
        <w:t xml:space="preserve"> (fyzických i právnických) v oblasti jejich majetkové sféry.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 Na základě výše uvedeného neposkytuje části požadovaných informací, které obsahují </w:t>
      </w:r>
      <w:r w:rsidR="009478EF">
        <w:rPr>
          <w:rFonts w:ascii="TimesNewRomanPSMT" w:eastAsia="Calibri" w:hAnsi="TimesNewRomanPSMT" w:cs="TimesNewRomanPSMT"/>
          <w:color w:val="000000"/>
        </w:rPr>
        <w:t>množství skladovaných výrobků, vlastněných společností ČEPRO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. Povinný subjekt považuje poskytnutí takových informací za zásah do práva na ochranu soukromí a na ochranu osobních údajů, kdy takový zásah je nutné minimalizovat např. anonymizací údajů směřujících </w:t>
      </w:r>
      <w:r w:rsidR="009478EF">
        <w:rPr>
          <w:rFonts w:ascii="TimesNewRomanPSMT" w:eastAsia="Calibri" w:hAnsi="TimesNewRomanPSMT" w:cs="TimesNewRomanPSMT"/>
          <w:color w:val="000000"/>
        </w:rPr>
        <w:t>ke zjištění majetkových poměrů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. Ochrana </w:t>
      </w:r>
      <w:r w:rsidR="009478EF">
        <w:rPr>
          <w:rFonts w:ascii="TimesNewRomanPSMT" w:eastAsia="Calibri" w:hAnsi="TimesNewRomanPSMT" w:cs="TimesNewRomanPSMT"/>
          <w:color w:val="000000"/>
        </w:rPr>
        <w:t>majetkových poměrů</w:t>
      </w:r>
      <w:r w:rsidRPr="0089233D">
        <w:rPr>
          <w:rFonts w:ascii="TimesNewRomanPSMT" w:eastAsia="Calibri" w:hAnsi="TimesNewRomanPSMT" w:cs="TimesNewRomanPSMT"/>
          <w:color w:val="000000"/>
        </w:rPr>
        <w:t xml:space="preserve"> je dle povinného subjektu anonymizací plně zachována a zároveň je přiměřeným způsobem poskytnuta informace žadateli tak, aby naplnil </w:t>
      </w:r>
      <w:bookmarkStart w:id="0" w:name="_GoBack"/>
      <w:bookmarkEnd w:id="0"/>
      <w:r w:rsidRPr="0089233D">
        <w:rPr>
          <w:rFonts w:ascii="TimesNewRomanPSMT" w:eastAsia="Calibri" w:hAnsi="TimesNewRomanPSMT" w:cs="TimesNewRomanPSMT"/>
          <w:color w:val="000000"/>
        </w:rPr>
        <w:t>svůj důvod žádosti, tedy získání informace. Informační zákon a právo na informace nelze chápat jako neomezené právo žadatele na úkor práva na ochranu osobnosti.</w:t>
      </w:r>
      <w:r w:rsidR="007C5C6C">
        <w:rPr>
          <w:rFonts w:ascii="TimesNewRomanPSMT" w:eastAsia="Calibri" w:hAnsi="TimesNewRomanPSMT" w:cs="TimesNewRomanPSMT"/>
          <w:color w:val="000000"/>
        </w:rPr>
        <w:t xml:space="preserve"> </w:t>
      </w:r>
      <w:r w:rsidR="007C5C6C" w:rsidRPr="007C5C6C">
        <w:rPr>
          <w:rFonts w:ascii="TimesNewRomanPSMT" w:eastAsia="Calibri" w:hAnsi="TimesNewRomanPSMT" w:cs="TimesNewRomanPSMT"/>
          <w:color w:val="000000"/>
        </w:rPr>
        <w:t xml:space="preserve">Zároveň povinný subjekt neposkytne informace </w:t>
      </w:r>
      <w:r w:rsidR="007C5C6C">
        <w:rPr>
          <w:rFonts w:ascii="TimesNewRomanPSMT" w:eastAsia="Calibri" w:hAnsi="TimesNewRomanPSMT" w:cs="TimesNewRomanPSMT"/>
          <w:color w:val="000000"/>
        </w:rPr>
        <w:t>získané od třetí osoby v rámci kontrolní a obdobné činnosti,</w:t>
      </w:r>
      <w:r w:rsidR="007C5C6C" w:rsidRPr="007C5C6C">
        <w:rPr>
          <w:rFonts w:ascii="TimesNewRomanPSMT" w:eastAsia="Calibri" w:hAnsi="TimesNewRomanPSMT" w:cs="TimesNewRomanPSMT"/>
          <w:color w:val="000000"/>
        </w:rPr>
        <w:t xml:space="preserve"> které povinný subjekt získal na základě zákonů uvedených v § </w:t>
      </w:r>
      <w:r w:rsidR="007C5C6C">
        <w:rPr>
          <w:rFonts w:ascii="TimesNewRomanPSMT" w:eastAsia="Calibri" w:hAnsi="TimesNewRomanPSMT" w:cs="TimesNewRomanPSMT"/>
          <w:color w:val="000000"/>
        </w:rPr>
        <w:t>11 odst. 3</w:t>
      </w:r>
      <w:r w:rsidR="007C5C6C" w:rsidRPr="007C5C6C">
        <w:rPr>
          <w:rFonts w:ascii="TimesNewRomanPSMT" w:eastAsia="Calibri" w:hAnsi="TimesNewRomanPSMT" w:cs="TimesNewRomanPSMT"/>
          <w:color w:val="000000"/>
        </w:rPr>
        <w:t xml:space="preserve"> informačního zákona</w:t>
      </w:r>
    </w:p>
    <w:p w:rsidR="009478EF" w:rsidRDefault="009478EF" w:rsidP="005619D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      </w:t>
      </w:r>
      <w:r w:rsidR="0089233D">
        <w:rPr>
          <w:rFonts w:ascii="TimesNewRomanPSMT" w:eastAsia="Calibri" w:hAnsi="TimesNewRomanPSMT" w:cs="TimesNewRomanPSMT"/>
          <w:color w:val="000000"/>
        </w:rPr>
        <w:t xml:space="preserve">      </w:t>
      </w:r>
    </w:p>
    <w:p w:rsidR="002544CA" w:rsidRPr="002544CA" w:rsidRDefault="007C5C6C" w:rsidP="002544C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 </w:t>
      </w:r>
      <w:r w:rsidR="002544CA" w:rsidRPr="002544CA">
        <w:rPr>
          <w:rFonts w:ascii="TimesNewRomanPSMT" w:eastAsia="Calibri" w:hAnsi="TimesNewRomanPSMT" w:cs="TimesNewRomanPSMT"/>
          <w:color w:val="000000"/>
        </w:rPr>
        <w:t>Z výše uvedených důvodů bylo rozhodnuto tak, jak je uvedeno ve výroku rozhodnutí.</w:t>
      </w:r>
    </w:p>
    <w:p w:rsidR="002544CA" w:rsidRPr="002544CA" w:rsidRDefault="002544CA" w:rsidP="002544C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</w:p>
    <w:p w:rsidR="002544CA" w:rsidRPr="002544CA" w:rsidRDefault="002544CA" w:rsidP="002544C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color w:val="000000"/>
        </w:rPr>
      </w:pPr>
      <w:r w:rsidRPr="002544CA">
        <w:rPr>
          <w:rFonts w:ascii="TimesNewRomanPSMT" w:eastAsia="Calibri" w:hAnsi="TimesNewRomanPSMT" w:cs="TimesNewRomanPSMT"/>
          <w:color w:val="000000"/>
        </w:rPr>
        <w:t>Poučení</w:t>
      </w:r>
    </w:p>
    <w:p w:rsidR="002544CA" w:rsidRPr="002544CA" w:rsidRDefault="002544CA" w:rsidP="002544C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</w:p>
    <w:p w:rsidR="002544CA" w:rsidRDefault="007C5C6C" w:rsidP="002544C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 xml:space="preserve">           </w:t>
      </w:r>
      <w:r w:rsidR="002544CA" w:rsidRPr="002544CA">
        <w:rPr>
          <w:rFonts w:ascii="TimesNewRomanPSMT" w:eastAsia="Calibri" w:hAnsi="TimesNewRomanPSMT" w:cs="TimesNewRomanPSMT"/>
          <w:color w:val="000000"/>
        </w:rPr>
        <w:t xml:space="preserve">Proti tomuto rozhodnutí lze podat podle ustanovení § 20 odst. 4 písm. b) informačního zákona a podle ustanovení § 81 a násl. správního řádu odvolání do 15 dnů ode dne oznámení rozhodnutí. Odvolání se podává u </w:t>
      </w:r>
      <w:r w:rsidR="002544CA">
        <w:rPr>
          <w:rFonts w:ascii="TimesNewRomanPSMT" w:eastAsia="Calibri" w:hAnsi="TimesNewRomanPSMT" w:cs="TimesNewRomanPSMT"/>
          <w:color w:val="000000"/>
        </w:rPr>
        <w:t>povinného subjektu o</w:t>
      </w:r>
      <w:r w:rsidR="002544CA" w:rsidRPr="002544CA">
        <w:rPr>
          <w:rFonts w:ascii="TimesNewRomanPSMT" w:eastAsia="Calibri" w:hAnsi="TimesNewRomanPSMT" w:cs="TimesNewRomanPSMT"/>
          <w:color w:val="000000"/>
        </w:rPr>
        <w:t xml:space="preserve"> a rozhoduje o něm </w:t>
      </w:r>
      <w:r w:rsidR="002544CA">
        <w:rPr>
          <w:rFonts w:ascii="TimesNewRomanPSMT" w:eastAsia="Calibri" w:hAnsi="TimesNewRomanPSMT" w:cs="TimesNewRomanPSMT"/>
          <w:color w:val="000000"/>
        </w:rPr>
        <w:t>Generální ředitelství cel.</w:t>
      </w:r>
    </w:p>
    <w:p w:rsidR="002544CA" w:rsidRDefault="002544CA" w:rsidP="002544C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</w:p>
    <w:p w:rsidR="002544CA" w:rsidRDefault="002544CA" w:rsidP="002544C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</w:p>
    <w:p w:rsidR="002544CA" w:rsidRPr="001A299E" w:rsidRDefault="002544CA" w:rsidP="002544C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</w:rPr>
      </w:pPr>
    </w:p>
    <w:tbl>
      <w:tblPr>
        <w:tblW w:w="0" w:type="auto"/>
        <w:tblInd w:w="29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</w:tblGrid>
      <w:tr w:rsidR="001A299E" w:rsidRPr="001A299E" w:rsidTr="00EF7458">
        <w:tc>
          <w:tcPr>
            <w:tcW w:w="5640" w:type="dxa"/>
          </w:tcPr>
          <w:p w:rsidR="001A299E" w:rsidRPr="001A299E" w:rsidRDefault="001A299E" w:rsidP="001A299E">
            <w:r w:rsidRPr="001A299E">
              <w:t xml:space="preserve">                               plk. Ing. Jan Krmela</w:t>
            </w:r>
          </w:p>
        </w:tc>
      </w:tr>
      <w:tr w:rsidR="001A299E" w:rsidRPr="001A299E" w:rsidTr="00EF7458">
        <w:tc>
          <w:tcPr>
            <w:tcW w:w="5640" w:type="dxa"/>
          </w:tcPr>
          <w:p w:rsidR="001A299E" w:rsidRPr="001A299E" w:rsidRDefault="001A299E" w:rsidP="001A299E">
            <w:r w:rsidRPr="001A299E">
              <w:t xml:space="preserve">          vedoucí oddělení 11 Právních a správních činností</w:t>
            </w:r>
          </w:p>
        </w:tc>
      </w:tr>
      <w:tr w:rsidR="001A299E" w:rsidRPr="001A299E" w:rsidTr="00EF7458">
        <w:tc>
          <w:tcPr>
            <w:tcW w:w="5640" w:type="dxa"/>
          </w:tcPr>
          <w:p w:rsidR="001A299E" w:rsidRPr="001A299E" w:rsidRDefault="001A299E" w:rsidP="001A299E">
            <w:r w:rsidRPr="001A299E">
              <w:t xml:space="preserve">                         a zástupce vedoucího odboru</w:t>
            </w:r>
          </w:p>
          <w:p w:rsidR="001A299E" w:rsidRPr="001A299E" w:rsidRDefault="001A299E" w:rsidP="001A299E">
            <w:r w:rsidRPr="001A299E">
              <w:t xml:space="preserve">                    Celní úřad pro hlavní město Prahu</w:t>
            </w:r>
          </w:p>
        </w:tc>
      </w:tr>
    </w:tbl>
    <w:p w:rsidR="001A299E" w:rsidRPr="001A299E" w:rsidRDefault="001A299E" w:rsidP="001A299E">
      <w:pPr>
        <w:ind w:left="708" w:firstLine="708"/>
      </w:pPr>
    </w:p>
    <w:p w:rsidR="00D47CFB" w:rsidRDefault="001A299E" w:rsidP="001A299E">
      <w:pPr>
        <w:autoSpaceDE w:val="0"/>
        <w:autoSpaceDN w:val="0"/>
        <w:adjustRightInd w:val="0"/>
        <w:jc w:val="both"/>
      </w:pPr>
      <w:r>
        <w:t>Přílohy: povolení ČEPRO k provozování DS anonymizovaná verze</w:t>
      </w:r>
      <w:r w:rsidR="007C5C6C">
        <w:t xml:space="preserve"> č. j. 9420/06-1701-23/ROZ ze dne 14. 10. 2006</w:t>
      </w:r>
    </w:p>
    <w:p w:rsidR="00F054F9" w:rsidRDefault="00F054F9" w:rsidP="001A299E">
      <w:pPr>
        <w:autoSpaceDE w:val="0"/>
        <w:autoSpaceDN w:val="0"/>
        <w:adjustRightInd w:val="0"/>
        <w:jc w:val="both"/>
      </w:pPr>
      <w:r>
        <w:t xml:space="preserve"> </w:t>
      </w:r>
    </w:p>
    <w:p w:rsidR="001A299E" w:rsidRDefault="001A299E" w:rsidP="001A299E">
      <w:pPr>
        <w:autoSpaceDE w:val="0"/>
        <w:autoSpaceDN w:val="0"/>
        <w:adjustRightInd w:val="0"/>
        <w:jc w:val="both"/>
      </w:pPr>
      <w:r>
        <w:t xml:space="preserve">             </w:t>
      </w:r>
    </w:p>
    <w:sectPr w:rsidR="001A299E" w:rsidSect="00412066">
      <w:pgSz w:w="11906" w:h="16838"/>
      <w:pgMar w:top="1077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376C"/>
    <w:multiLevelType w:val="hybridMultilevel"/>
    <w:tmpl w:val="81FE77EC"/>
    <w:lvl w:ilvl="0" w:tplc="B97E8CF8">
      <w:start w:val="252"/>
      <w:numFmt w:val="bullet"/>
      <w:lvlText w:val="-"/>
      <w:lvlJc w:val="left"/>
      <w:pPr>
        <w:ind w:left="52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34834D7B"/>
    <w:multiLevelType w:val="hybridMultilevel"/>
    <w:tmpl w:val="7E82D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97E59"/>
    <w:multiLevelType w:val="hybridMultilevel"/>
    <w:tmpl w:val="50E6E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C0B"/>
    <w:multiLevelType w:val="hybridMultilevel"/>
    <w:tmpl w:val="8A2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0125B"/>
    <w:multiLevelType w:val="hybridMultilevel"/>
    <w:tmpl w:val="EB969DD2"/>
    <w:lvl w:ilvl="0" w:tplc="8B9683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8CB5F7F"/>
    <w:multiLevelType w:val="hybridMultilevel"/>
    <w:tmpl w:val="B5DAE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65283"/>
    <w:multiLevelType w:val="hybridMultilevel"/>
    <w:tmpl w:val="E870ADEE"/>
    <w:lvl w:ilvl="0" w:tplc="6A269342">
      <w:start w:val="4"/>
      <w:numFmt w:val="lowerLetter"/>
      <w:lvlText w:val="%1)"/>
      <w:lvlJc w:val="left"/>
      <w:pPr>
        <w:ind w:left="778" w:hanging="360"/>
      </w:pPr>
    </w:lvl>
    <w:lvl w:ilvl="1" w:tplc="04050019">
      <w:start w:val="1"/>
      <w:numFmt w:val="lowerLetter"/>
      <w:lvlText w:val="%2."/>
      <w:lvlJc w:val="left"/>
      <w:pPr>
        <w:ind w:left="1498" w:hanging="360"/>
      </w:pPr>
    </w:lvl>
    <w:lvl w:ilvl="2" w:tplc="0405001B">
      <w:start w:val="1"/>
      <w:numFmt w:val="lowerRoman"/>
      <w:lvlText w:val="%3."/>
      <w:lvlJc w:val="right"/>
      <w:pPr>
        <w:ind w:left="2218" w:hanging="180"/>
      </w:pPr>
    </w:lvl>
    <w:lvl w:ilvl="3" w:tplc="0405000F">
      <w:start w:val="1"/>
      <w:numFmt w:val="decimal"/>
      <w:lvlText w:val="%4."/>
      <w:lvlJc w:val="left"/>
      <w:pPr>
        <w:ind w:left="2938" w:hanging="360"/>
      </w:pPr>
    </w:lvl>
    <w:lvl w:ilvl="4" w:tplc="04050019">
      <w:start w:val="1"/>
      <w:numFmt w:val="lowerLetter"/>
      <w:lvlText w:val="%5."/>
      <w:lvlJc w:val="left"/>
      <w:pPr>
        <w:ind w:left="3658" w:hanging="360"/>
      </w:pPr>
    </w:lvl>
    <w:lvl w:ilvl="5" w:tplc="0405001B">
      <w:start w:val="1"/>
      <w:numFmt w:val="lowerRoman"/>
      <w:lvlText w:val="%6."/>
      <w:lvlJc w:val="right"/>
      <w:pPr>
        <w:ind w:left="4378" w:hanging="180"/>
      </w:pPr>
    </w:lvl>
    <w:lvl w:ilvl="6" w:tplc="0405000F">
      <w:start w:val="1"/>
      <w:numFmt w:val="decimal"/>
      <w:lvlText w:val="%7."/>
      <w:lvlJc w:val="left"/>
      <w:pPr>
        <w:ind w:left="5098" w:hanging="360"/>
      </w:pPr>
    </w:lvl>
    <w:lvl w:ilvl="7" w:tplc="04050019">
      <w:start w:val="1"/>
      <w:numFmt w:val="lowerLetter"/>
      <w:lvlText w:val="%8."/>
      <w:lvlJc w:val="left"/>
      <w:pPr>
        <w:ind w:left="5818" w:hanging="360"/>
      </w:pPr>
    </w:lvl>
    <w:lvl w:ilvl="8" w:tplc="0405001B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B0E2F64"/>
    <w:multiLevelType w:val="hybridMultilevel"/>
    <w:tmpl w:val="79ECB9AC"/>
    <w:lvl w:ilvl="0" w:tplc="7B64382E">
      <w:start w:val="1"/>
      <w:numFmt w:val="lowerLetter"/>
      <w:lvlText w:val="%1)"/>
      <w:lvlJc w:val="left"/>
      <w:pPr>
        <w:ind w:left="778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675A1"/>
    <w:multiLevelType w:val="hybridMultilevel"/>
    <w:tmpl w:val="0D7EED9C"/>
    <w:lvl w:ilvl="0" w:tplc="9EDA77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B1"/>
    <w:rsid w:val="00001223"/>
    <w:rsid w:val="0000402F"/>
    <w:rsid w:val="00005503"/>
    <w:rsid w:val="0001205F"/>
    <w:rsid w:val="000137DB"/>
    <w:rsid w:val="000309AE"/>
    <w:rsid w:val="000313F2"/>
    <w:rsid w:val="000345C2"/>
    <w:rsid w:val="00045D1E"/>
    <w:rsid w:val="00060697"/>
    <w:rsid w:val="00072D33"/>
    <w:rsid w:val="0009063F"/>
    <w:rsid w:val="00097A36"/>
    <w:rsid w:val="000A316D"/>
    <w:rsid w:val="000B5A48"/>
    <w:rsid w:val="000C2934"/>
    <w:rsid w:val="000D6F3A"/>
    <w:rsid w:val="000F4EF2"/>
    <w:rsid w:val="000F5138"/>
    <w:rsid w:val="00127C5E"/>
    <w:rsid w:val="001549A6"/>
    <w:rsid w:val="0019739C"/>
    <w:rsid w:val="001A299E"/>
    <w:rsid w:val="001A7861"/>
    <w:rsid w:val="001D65A5"/>
    <w:rsid w:val="001F35C2"/>
    <w:rsid w:val="001F7A01"/>
    <w:rsid w:val="001F7B7C"/>
    <w:rsid w:val="00215D76"/>
    <w:rsid w:val="00247B99"/>
    <w:rsid w:val="00253D96"/>
    <w:rsid w:val="002544CA"/>
    <w:rsid w:val="002714D3"/>
    <w:rsid w:val="002916FA"/>
    <w:rsid w:val="00295DCF"/>
    <w:rsid w:val="002C18F3"/>
    <w:rsid w:val="002C39BA"/>
    <w:rsid w:val="002D3F57"/>
    <w:rsid w:val="002E1A90"/>
    <w:rsid w:val="002E762E"/>
    <w:rsid w:val="002F5476"/>
    <w:rsid w:val="002F7F7B"/>
    <w:rsid w:val="00314F85"/>
    <w:rsid w:val="00321B63"/>
    <w:rsid w:val="0032394F"/>
    <w:rsid w:val="0032625B"/>
    <w:rsid w:val="00330BB9"/>
    <w:rsid w:val="0035798E"/>
    <w:rsid w:val="003A5DEE"/>
    <w:rsid w:val="003A5E2C"/>
    <w:rsid w:val="003B013A"/>
    <w:rsid w:val="003F1E4E"/>
    <w:rsid w:val="003F49D5"/>
    <w:rsid w:val="004058C4"/>
    <w:rsid w:val="00412066"/>
    <w:rsid w:val="00417C70"/>
    <w:rsid w:val="004300B9"/>
    <w:rsid w:val="004344B5"/>
    <w:rsid w:val="004417F3"/>
    <w:rsid w:val="00455347"/>
    <w:rsid w:val="00490A77"/>
    <w:rsid w:val="004956B7"/>
    <w:rsid w:val="004C77F6"/>
    <w:rsid w:val="004E0CBA"/>
    <w:rsid w:val="004F15D3"/>
    <w:rsid w:val="004F367A"/>
    <w:rsid w:val="004F3F08"/>
    <w:rsid w:val="005016CC"/>
    <w:rsid w:val="00505E6C"/>
    <w:rsid w:val="00520925"/>
    <w:rsid w:val="00527285"/>
    <w:rsid w:val="00540C4E"/>
    <w:rsid w:val="0056000C"/>
    <w:rsid w:val="005619D2"/>
    <w:rsid w:val="00577CEC"/>
    <w:rsid w:val="0058432C"/>
    <w:rsid w:val="00587012"/>
    <w:rsid w:val="005A3E5C"/>
    <w:rsid w:val="005B3189"/>
    <w:rsid w:val="005C031D"/>
    <w:rsid w:val="005C2D8D"/>
    <w:rsid w:val="005E7DE6"/>
    <w:rsid w:val="00601B79"/>
    <w:rsid w:val="00605180"/>
    <w:rsid w:val="0062627A"/>
    <w:rsid w:val="00642B8A"/>
    <w:rsid w:val="00643B9F"/>
    <w:rsid w:val="0065304E"/>
    <w:rsid w:val="00667F04"/>
    <w:rsid w:val="0067389F"/>
    <w:rsid w:val="006762F7"/>
    <w:rsid w:val="00680004"/>
    <w:rsid w:val="0068113A"/>
    <w:rsid w:val="006854B6"/>
    <w:rsid w:val="00697D15"/>
    <w:rsid w:val="006B0952"/>
    <w:rsid w:val="006F16B0"/>
    <w:rsid w:val="0070089D"/>
    <w:rsid w:val="00703F58"/>
    <w:rsid w:val="007068EE"/>
    <w:rsid w:val="00707324"/>
    <w:rsid w:val="00713EAE"/>
    <w:rsid w:val="0073443F"/>
    <w:rsid w:val="007512FA"/>
    <w:rsid w:val="00752B37"/>
    <w:rsid w:val="00756620"/>
    <w:rsid w:val="00771CE1"/>
    <w:rsid w:val="007739C9"/>
    <w:rsid w:val="007743BB"/>
    <w:rsid w:val="007824E3"/>
    <w:rsid w:val="007C5C6C"/>
    <w:rsid w:val="007D25A6"/>
    <w:rsid w:val="007E1ED7"/>
    <w:rsid w:val="007F22E4"/>
    <w:rsid w:val="00816960"/>
    <w:rsid w:val="008217D2"/>
    <w:rsid w:val="00837D39"/>
    <w:rsid w:val="00854EC9"/>
    <w:rsid w:val="008564E9"/>
    <w:rsid w:val="0087183F"/>
    <w:rsid w:val="008766A3"/>
    <w:rsid w:val="00882074"/>
    <w:rsid w:val="0089233D"/>
    <w:rsid w:val="008A4004"/>
    <w:rsid w:val="008B1C71"/>
    <w:rsid w:val="008B381C"/>
    <w:rsid w:val="008C003D"/>
    <w:rsid w:val="008D633F"/>
    <w:rsid w:val="008E2611"/>
    <w:rsid w:val="008E2F69"/>
    <w:rsid w:val="00914DB8"/>
    <w:rsid w:val="009250A5"/>
    <w:rsid w:val="009478EF"/>
    <w:rsid w:val="00947AF4"/>
    <w:rsid w:val="00962E82"/>
    <w:rsid w:val="00977624"/>
    <w:rsid w:val="009828C6"/>
    <w:rsid w:val="00983F36"/>
    <w:rsid w:val="00996FA0"/>
    <w:rsid w:val="009A41F4"/>
    <w:rsid w:val="009B54BA"/>
    <w:rsid w:val="009B5997"/>
    <w:rsid w:val="009D02E1"/>
    <w:rsid w:val="009F13B1"/>
    <w:rsid w:val="00A30BD0"/>
    <w:rsid w:val="00A34A43"/>
    <w:rsid w:val="00A40CA1"/>
    <w:rsid w:val="00A4224B"/>
    <w:rsid w:val="00A54AC0"/>
    <w:rsid w:val="00A606C9"/>
    <w:rsid w:val="00A64CB3"/>
    <w:rsid w:val="00A665F1"/>
    <w:rsid w:val="00A75F7B"/>
    <w:rsid w:val="00A84EB7"/>
    <w:rsid w:val="00A86B92"/>
    <w:rsid w:val="00A972C2"/>
    <w:rsid w:val="00AA4CC9"/>
    <w:rsid w:val="00AB5122"/>
    <w:rsid w:val="00AD4304"/>
    <w:rsid w:val="00AE5BD6"/>
    <w:rsid w:val="00AF746B"/>
    <w:rsid w:val="00B31B13"/>
    <w:rsid w:val="00B3362A"/>
    <w:rsid w:val="00B44E0A"/>
    <w:rsid w:val="00B56146"/>
    <w:rsid w:val="00B702E6"/>
    <w:rsid w:val="00B73180"/>
    <w:rsid w:val="00B92EF0"/>
    <w:rsid w:val="00B93967"/>
    <w:rsid w:val="00BA1B28"/>
    <w:rsid w:val="00BA4AA0"/>
    <w:rsid w:val="00BA6070"/>
    <w:rsid w:val="00BB4045"/>
    <w:rsid w:val="00BD486F"/>
    <w:rsid w:val="00BE63BA"/>
    <w:rsid w:val="00BE7E98"/>
    <w:rsid w:val="00C109E4"/>
    <w:rsid w:val="00C27805"/>
    <w:rsid w:val="00C27935"/>
    <w:rsid w:val="00C30573"/>
    <w:rsid w:val="00C31710"/>
    <w:rsid w:val="00C42488"/>
    <w:rsid w:val="00C57FD7"/>
    <w:rsid w:val="00C6334D"/>
    <w:rsid w:val="00C733E4"/>
    <w:rsid w:val="00C80E20"/>
    <w:rsid w:val="00CA67E8"/>
    <w:rsid w:val="00CB6453"/>
    <w:rsid w:val="00CB7881"/>
    <w:rsid w:val="00CC3F33"/>
    <w:rsid w:val="00CC5C83"/>
    <w:rsid w:val="00D02F43"/>
    <w:rsid w:val="00D03A2D"/>
    <w:rsid w:val="00D06CB4"/>
    <w:rsid w:val="00D1078C"/>
    <w:rsid w:val="00D25152"/>
    <w:rsid w:val="00D251AD"/>
    <w:rsid w:val="00D43605"/>
    <w:rsid w:val="00D47CFB"/>
    <w:rsid w:val="00D61040"/>
    <w:rsid w:val="00D76C60"/>
    <w:rsid w:val="00D96F52"/>
    <w:rsid w:val="00D97812"/>
    <w:rsid w:val="00DA6DDA"/>
    <w:rsid w:val="00DB014D"/>
    <w:rsid w:val="00DD44A4"/>
    <w:rsid w:val="00E321A5"/>
    <w:rsid w:val="00E36494"/>
    <w:rsid w:val="00E446FA"/>
    <w:rsid w:val="00E47F89"/>
    <w:rsid w:val="00E52B68"/>
    <w:rsid w:val="00E53B9B"/>
    <w:rsid w:val="00E62179"/>
    <w:rsid w:val="00E87E04"/>
    <w:rsid w:val="00E92316"/>
    <w:rsid w:val="00EA2383"/>
    <w:rsid w:val="00EE2A42"/>
    <w:rsid w:val="00EF21F5"/>
    <w:rsid w:val="00F054F9"/>
    <w:rsid w:val="00F302A8"/>
    <w:rsid w:val="00F35324"/>
    <w:rsid w:val="00F478A8"/>
    <w:rsid w:val="00F47EE5"/>
    <w:rsid w:val="00F64771"/>
    <w:rsid w:val="00F7272C"/>
    <w:rsid w:val="00F73BB5"/>
    <w:rsid w:val="00F74BB3"/>
    <w:rsid w:val="00F81270"/>
    <w:rsid w:val="00F81EFF"/>
    <w:rsid w:val="00FA7785"/>
    <w:rsid w:val="00FB5F17"/>
    <w:rsid w:val="00FE3CCE"/>
    <w:rsid w:val="00FF184F"/>
    <w:rsid w:val="00FF1E0B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D82"/>
  <w15:chartTrackingRefBased/>
  <w15:docId w15:val="{56501090-776B-4C4F-841F-3A918DC7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F1E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3F1E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F13B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9F13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9F13B1"/>
    <w:pPr>
      <w:widowControl w:val="0"/>
      <w:suppressAutoHyphens/>
      <w:spacing w:line="228" w:lineRule="auto"/>
    </w:pPr>
    <w:rPr>
      <w:szCs w:val="20"/>
    </w:rPr>
  </w:style>
  <w:style w:type="paragraph" w:customStyle="1" w:styleId="Default">
    <w:name w:val="Default"/>
    <w:rsid w:val="009F1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9F13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1">
    <w:name w:val="Základní text1"/>
    <w:basedOn w:val="Normln"/>
    <w:rsid w:val="009F13B1"/>
    <w:pPr>
      <w:widowControl w:val="0"/>
      <w:suppressAutoHyphens/>
      <w:spacing w:line="228" w:lineRule="auto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7C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12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E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E2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E762E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3F1E4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F1E4E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3F1E4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F1E4E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3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3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BF8DD04D6A1459A422B73C3764CF5" ma:contentTypeVersion="6" ma:contentTypeDescription="Vytvořit nový dokument" ma:contentTypeScope="" ma:versionID="8c651bcdddd1276712d42fb965b043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10432-2D57-472E-B903-20E0BF1CBF89}"/>
</file>

<file path=customXml/itemProps2.xml><?xml version="1.0" encoding="utf-8"?>
<ds:datastoreItem xmlns:ds="http://schemas.openxmlformats.org/officeDocument/2006/customXml" ds:itemID="{18BACDD9-8643-4A5F-8F03-491C342B0F50}"/>
</file>

<file path=customXml/itemProps3.xml><?xml version="1.0" encoding="utf-8"?>
<ds:datastoreItem xmlns:ds="http://schemas.openxmlformats.org/officeDocument/2006/customXml" ds:itemID="{60EFAFBD-E5B7-4180-87F6-80185F49CF8F}"/>
</file>

<file path=customXml/itemProps4.xml><?xml version="1.0" encoding="utf-8"?>
<ds:datastoreItem xmlns:ds="http://schemas.openxmlformats.org/officeDocument/2006/customXml" ds:itemID="{1C741034-F25F-4B03-AF0A-B39B77B6F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Pěkná Radka</dc:creator>
  <cp:keywords/>
  <dc:description/>
  <cp:lastModifiedBy>Budlovský Zdeněk, Mgr., kpt.</cp:lastModifiedBy>
  <cp:revision>2</cp:revision>
  <cp:lastPrinted>2019-11-05T13:31:00Z</cp:lastPrinted>
  <dcterms:created xsi:type="dcterms:W3CDTF">2020-06-04T12:39:00Z</dcterms:created>
  <dcterms:modified xsi:type="dcterms:W3CDTF">2020-06-04T12:39:00Z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0x0101007FABF8DD04D6A1459A422B73C3764CF5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